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before="0" w:beforeAutospacing="0" w:after="0" w:afterAutospacing="0" w:line="432" w:lineRule="auto"/>
        <w:jc w:val="center"/>
        <w:rPr>
          <w:rStyle w:val="5"/>
          <w:rFonts w:hint="eastAsia" w:ascii="&amp;quot" w:hAnsi="&amp;quot"/>
          <w:color w:val="585858"/>
          <w:sz w:val="28"/>
          <w:szCs w:val="28"/>
        </w:rPr>
      </w:pPr>
      <w:r>
        <w:rPr>
          <w:rStyle w:val="5"/>
          <w:rFonts w:hint="eastAsia" w:ascii="黑体" w:hAnsi="黑体" w:eastAsia="黑体"/>
          <w:color w:val="585858"/>
          <w:sz w:val="32"/>
          <w:szCs w:val="28"/>
        </w:rPr>
        <w:t>关于荣成学院线上教学优秀课程申报的通知</w:t>
      </w:r>
    </w:p>
    <w:p>
      <w:pPr>
        <w:spacing w:line="360" w:lineRule="auto"/>
        <w:rPr>
          <w:sz w:val="24"/>
        </w:rPr>
      </w:pPr>
      <w:r>
        <w:rPr>
          <w:sz w:val="24"/>
        </w:rPr>
        <w:t>各教学</w:t>
      </w:r>
      <w:r>
        <w:rPr>
          <w:rFonts w:hint="eastAsia"/>
          <w:sz w:val="24"/>
        </w:rPr>
        <w:t>单位</w:t>
      </w:r>
      <w:r>
        <w:rPr>
          <w:sz w:val="24"/>
        </w:rPr>
        <w:t>：</w:t>
      </w:r>
    </w:p>
    <w:p>
      <w:pPr>
        <w:spacing w:line="360" w:lineRule="auto"/>
        <w:ind w:firstLine="600" w:firstLineChars="250"/>
        <w:rPr>
          <w:rFonts w:hint="eastAsia"/>
          <w:sz w:val="24"/>
        </w:rPr>
      </w:pPr>
      <w:r>
        <w:rPr>
          <w:rFonts w:hint="eastAsia"/>
          <w:sz w:val="24"/>
        </w:rPr>
        <w:t>新冠肺炎疫情发生以来，广大教师强化使命担当，克服困难、精心组织开展线上教学，充分利用信息化手段保证“停课不停教、停课不停学”，有力减轻了疫情对教育教学的影响。为深入贯彻落实省教育厅《关于做好普通高等学校延迟返校期间在校教学组织与管理工作的指导意见》（黑教高函〔2020〕48号）和《哈尔滨理工大学关于做好延迟返校期间在线教学组织与管理工作的指导意见》精神，持续提升线上教学质量，做好国家级、省级一流课程培育，学院决定从疫情防控期间开展线上教学的课程中评选一批优秀课程，现就相关事宜通知如下：</w:t>
      </w:r>
    </w:p>
    <w:p>
      <w:pPr>
        <w:spacing w:line="360" w:lineRule="auto"/>
        <w:ind w:firstLine="482" w:firstLineChars="200"/>
        <w:rPr>
          <w:b/>
          <w:sz w:val="24"/>
        </w:rPr>
      </w:pPr>
      <w:r>
        <w:rPr>
          <w:rFonts w:hint="eastAsia"/>
          <w:b/>
          <w:sz w:val="24"/>
        </w:rPr>
        <w:t>一</w:t>
      </w:r>
      <w:r>
        <w:rPr>
          <w:b/>
          <w:sz w:val="24"/>
        </w:rPr>
        <w:t>、申报条件</w:t>
      </w:r>
    </w:p>
    <w:p>
      <w:pPr>
        <w:spacing w:line="360" w:lineRule="auto"/>
        <w:ind w:firstLine="480" w:firstLineChars="200"/>
        <w:rPr>
          <w:sz w:val="24"/>
        </w:rPr>
      </w:pPr>
      <w:r>
        <w:rPr>
          <w:sz w:val="24"/>
        </w:rPr>
        <w:t>申报课程须是疫情防控期间开展线上教学、纳入人才培养方案且设置学分的本科课程，并具备以下基本条件：</w:t>
      </w:r>
    </w:p>
    <w:p>
      <w:pPr>
        <w:spacing w:line="360" w:lineRule="auto"/>
        <w:ind w:firstLine="480" w:firstLineChars="200"/>
        <w:rPr>
          <w:sz w:val="24"/>
        </w:rPr>
      </w:pPr>
      <w:r>
        <w:rPr>
          <w:sz w:val="24"/>
        </w:rPr>
        <w:t>1.坚持立德树人，注重课程思政，体现以学生发展为中心，致力于开启学生内在潜力和学习动力，注重学生德智体美劳全面发展；</w:t>
      </w:r>
    </w:p>
    <w:p>
      <w:pPr>
        <w:spacing w:line="360" w:lineRule="auto"/>
        <w:ind w:firstLine="480" w:firstLineChars="200"/>
        <w:rPr>
          <w:sz w:val="24"/>
        </w:rPr>
      </w:pPr>
      <w:r>
        <w:rPr>
          <w:sz w:val="24"/>
        </w:rPr>
        <w:t>2.教学设计科学合理，围绕目标达成、教学内容、组织实施和多元评价需求进行整体规划，教学策略、教学方法、教学过程、教学评价等设计合理，教案、课件、音视频等课程资源符合教学大纲，内容充实，注重提升课程的高阶性、创新性和挑战度；</w:t>
      </w:r>
    </w:p>
    <w:p>
      <w:pPr>
        <w:spacing w:line="360" w:lineRule="auto"/>
        <w:ind w:firstLine="480" w:firstLineChars="200"/>
        <w:rPr>
          <w:sz w:val="24"/>
        </w:rPr>
      </w:pPr>
      <w:r>
        <w:rPr>
          <w:sz w:val="24"/>
        </w:rPr>
        <w:t>3.教学活动互动创新，授课教师或课程团队教学改革意识强烈、理念先进，根据学生认知规律和接受特点，创新教与学模式，教学时间安排合理，课堂应变能力强，师生互动性强；</w:t>
      </w:r>
    </w:p>
    <w:p>
      <w:pPr>
        <w:spacing w:line="360" w:lineRule="auto"/>
        <w:ind w:firstLine="480" w:firstLineChars="200"/>
        <w:rPr>
          <w:sz w:val="24"/>
        </w:rPr>
      </w:pPr>
      <w:r>
        <w:rPr>
          <w:sz w:val="24"/>
        </w:rPr>
        <w:t>4.教学成效明显，网上授课活动科学、规范、有序，课程管理严格，能够多元化、多维度对学生学习过程进行评价，学生参与度高、教学互动性强，能够较好地完成教学目标，综合运用信息技术提高教学效率、提升教学质量。</w:t>
      </w:r>
    </w:p>
    <w:p>
      <w:pPr>
        <w:spacing w:line="360" w:lineRule="auto"/>
        <w:ind w:firstLine="482" w:firstLineChars="200"/>
        <w:rPr>
          <w:b/>
          <w:sz w:val="24"/>
        </w:rPr>
      </w:pPr>
      <w:r>
        <w:rPr>
          <w:rFonts w:hint="eastAsia"/>
          <w:b/>
          <w:sz w:val="24"/>
        </w:rPr>
        <w:t>二、评选内容</w:t>
      </w:r>
    </w:p>
    <w:p>
      <w:pPr>
        <w:spacing w:line="360" w:lineRule="auto"/>
        <w:ind w:firstLine="480" w:firstLineChars="200"/>
        <w:rPr>
          <w:sz w:val="24"/>
        </w:rPr>
      </w:pPr>
      <w:r>
        <w:rPr>
          <w:rFonts w:hint="eastAsia"/>
          <w:sz w:val="24"/>
        </w:rPr>
        <w:t>主要对教师提供课程的教学日历（教学计划）、教学资源、教学组织情况、教学成效以及进行的教学改革创新进行评审，考查教师在开展线上教学过程中如何深入教育教学改革，利用在线教育技术激发学生内在潜力和学习动力，实现线上线下教育效果的实质等效。详见《荣成学院线上教学优秀课程评选标准》（附件1-3）。</w:t>
      </w:r>
    </w:p>
    <w:p>
      <w:pPr>
        <w:spacing w:line="360" w:lineRule="auto"/>
        <w:ind w:firstLine="482" w:firstLineChars="200"/>
        <w:rPr>
          <w:b/>
          <w:sz w:val="24"/>
        </w:rPr>
      </w:pPr>
      <w:r>
        <w:rPr>
          <w:rFonts w:hint="eastAsia"/>
          <w:b/>
          <w:sz w:val="24"/>
        </w:rPr>
        <w:t>三</w:t>
      </w:r>
      <w:r>
        <w:rPr>
          <w:b/>
          <w:sz w:val="24"/>
        </w:rPr>
        <w:t>、</w:t>
      </w:r>
      <w:r>
        <w:rPr>
          <w:rFonts w:hint="eastAsia"/>
          <w:b/>
          <w:sz w:val="24"/>
        </w:rPr>
        <w:t>申报</w:t>
      </w:r>
      <w:r>
        <w:rPr>
          <w:b/>
          <w:sz w:val="24"/>
        </w:rPr>
        <w:t>程序</w:t>
      </w:r>
    </w:p>
    <w:p>
      <w:pPr>
        <w:spacing w:line="360" w:lineRule="auto"/>
        <w:ind w:firstLine="480" w:firstLineChars="200"/>
        <w:rPr>
          <w:sz w:val="24"/>
        </w:rPr>
      </w:pPr>
      <w:r>
        <w:rPr>
          <w:sz w:val="24"/>
        </w:rPr>
        <w:t>1.</w:t>
      </w:r>
      <w:r>
        <w:rPr>
          <w:rFonts w:hint="eastAsia"/>
          <w:sz w:val="24"/>
        </w:rPr>
        <w:t>系部</w:t>
      </w:r>
      <w:r>
        <w:rPr>
          <w:sz w:val="24"/>
        </w:rPr>
        <w:t>推荐。</w:t>
      </w:r>
      <w:r>
        <w:rPr>
          <w:rFonts w:hint="eastAsia"/>
          <w:sz w:val="24"/>
        </w:rPr>
        <w:t>各教学</w:t>
      </w:r>
      <w:r>
        <w:rPr>
          <w:sz w:val="24"/>
        </w:rPr>
        <w:t>单位按照《</w:t>
      </w:r>
      <w:r>
        <w:rPr>
          <w:rFonts w:hint="eastAsia"/>
          <w:sz w:val="24"/>
        </w:rPr>
        <w:t>荣成学院线上教学优秀课程评选标准</w:t>
      </w:r>
      <w:r>
        <w:rPr>
          <w:sz w:val="24"/>
        </w:rPr>
        <w:t>》（见附件</w:t>
      </w:r>
      <w:r>
        <w:rPr>
          <w:rFonts w:hint="eastAsia"/>
          <w:sz w:val="24"/>
        </w:rPr>
        <w:t>1-3</w:t>
      </w:r>
      <w:r>
        <w:rPr>
          <w:sz w:val="24"/>
        </w:rPr>
        <w:t>）</w:t>
      </w:r>
      <w:r>
        <w:rPr>
          <w:rFonts w:hint="eastAsia"/>
          <w:sz w:val="24"/>
        </w:rPr>
        <w:t>原则上</w:t>
      </w:r>
      <w:r>
        <w:rPr>
          <w:sz w:val="24"/>
        </w:rPr>
        <w:t>择优推荐</w:t>
      </w:r>
      <w:r>
        <w:rPr>
          <w:rFonts w:hint="eastAsia"/>
          <w:color w:val="FF0000"/>
          <w:sz w:val="24"/>
        </w:rPr>
        <w:t>2</w:t>
      </w:r>
      <w:r>
        <w:rPr>
          <w:color w:val="FF0000"/>
          <w:sz w:val="24"/>
        </w:rPr>
        <w:t>—</w:t>
      </w:r>
      <w:r>
        <w:rPr>
          <w:rFonts w:hint="eastAsia"/>
          <w:color w:val="FF0000"/>
          <w:sz w:val="24"/>
        </w:rPr>
        <w:t>3</w:t>
      </w:r>
      <w:r>
        <w:rPr>
          <w:rFonts w:hint="eastAsia"/>
          <w:sz w:val="24"/>
        </w:rPr>
        <w:t>门</w:t>
      </w:r>
      <w:r>
        <w:rPr>
          <w:sz w:val="24"/>
        </w:rPr>
        <w:t>课程。</w:t>
      </w:r>
      <w:r>
        <w:rPr>
          <w:rFonts w:hint="eastAsia"/>
          <w:sz w:val="24"/>
        </w:rPr>
        <w:t>各学院对申报</w:t>
      </w:r>
      <w:r>
        <w:rPr>
          <w:sz w:val="24"/>
        </w:rPr>
        <w:t>人的</w:t>
      </w:r>
      <w:r>
        <w:rPr>
          <w:rFonts w:hint="eastAsia"/>
          <w:sz w:val="24"/>
        </w:rPr>
        <w:t>课程条件和质量进行初审后并排序。</w:t>
      </w:r>
    </w:p>
    <w:p>
      <w:pPr>
        <w:spacing w:line="360" w:lineRule="auto"/>
        <w:ind w:firstLine="480" w:firstLineChars="200"/>
        <w:rPr>
          <w:sz w:val="24"/>
        </w:rPr>
      </w:pPr>
      <w:r>
        <w:rPr>
          <w:sz w:val="24"/>
        </w:rPr>
        <w:t>2.学</w:t>
      </w:r>
      <w:r>
        <w:rPr>
          <w:rFonts w:hint="eastAsia"/>
          <w:sz w:val="24"/>
        </w:rPr>
        <w:t>院</w:t>
      </w:r>
      <w:r>
        <w:rPr>
          <w:sz w:val="24"/>
        </w:rPr>
        <w:t>评选。</w:t>
      </w:r>
      <w:r>
        <w:rPr>
          <w:rFonts w:hint="eastAsia"/>
          <w:sz w:val="24"/>
        </w:rPr>
        <w:t>教务</w:t>
      </w:r>
      <w:r>
        <w:rPr>
          <w:rFonts w:hint="eastAsia"/>
          <w:sz w:val="24"/>
          <w:lang w:val="en-US" w:eastAsia="zh-CN"/>
        </w:rPr>
        <w:t>办公室</w:t>
      </w:r>
      <w:r>
        <w:rPr>
          <w:rFonts w:hint="eastAsia"/>
          <w:sz w:val="24"/>
        </w:rPr>
        <w:t>组织专家进行评审。遴选出10门优秀</w:t>
      </w:r>
      <w:r>
        <w:rPr>
          <w:sz w:val="24"/>
        </w:rPr>
        <w:t>课程</w:t>
      </w:r>
      <w:r>
        <w:rPr>
          <w:rFonts w:hint="eastAsia"/>
          <w:sz w:val="24"/>
        </w:rPr>
        <w:t>对</w:t>
      </w:r>
      <w:r>
        <w:rPr>
          <w:sz w:val="24"/>
        </w:rPr>
        <w:t>后续课程建设予以资助</w:t>
      </w:r>
      <w:r>
        <w:rPr>
          <w:rFonts w:hint="eastAsia"/>
          <w:sz w:val="24"/>
        </w:rPr>
        <w:t>，每门课程资助金额3000-5000元，</w:t>
      </w:r>
      <w:r>
        <w:rPr>
          <w:sz w:val="24"/>
        </w:rPr>
        <w:t>并作为学校</w:t>
      </w:r>
      <w:r>
        <w:rPr>
          <w:rFonts w:hint="eastAsia"/>
          <w:sz w:val="24"/>
        </w:rPr>
        <w:t>、</w:t>
      </w:r>
      <w:r>
        <w:rPr>
          <w:sz w:val="24"/>
        </w:rPr>
        <w:t>省级</w:t>
      </w:r>
      <w:r>
        <w:rPr>
          <w:rFonts w:hint="eastAsia"/>
          <w:sz w:val="24"/>
        </w:rPr>
        <w:t>、</w:t>
      </w:r>
      <w:r>
        <w:rPr>
          <w:sz w:val="24"/>
        </w:rPr>
        <w:t>国家级</w:t>
      </w:r>
      <w:r>
        <w:rPr>
          <w:rFonts w:hint="eastAsia"/>
          <w:sz w:val="24"/>
        </w:rPr>
        <w:t>一流</w:t>
      </w:r>
      <w:r>
        <w:rPr>
          <w:sz w:val="24"/>
        </w:rPr>
        <w:t>课程重点推荐课程。</w:t>
      </w:r>
    </w:p>
    <w:p>
      <w:pPr>
        <w:spacing w:line="360" w:lineRule="auto"/>
        <w:ind w:firstLine="480" w:firstLineChars="200"/>
        <w:rPr>
          <w:sz w:val="24"/>
        </w:rPr>
      </w:pPr>
      <w:r>
        <w:rPr>
          <w:rFonts w:hint="eastAsia"/>
          <w:sz w:val="24"/>
        </w:rPr>
        <w:t>3.</w:t>
      </w:r>
      <w:r>
        <w:rPr>
          <w:sz w:val="24"/>
        </w:rPr>
        <w:t>申报时间为</w:t>
      </w:r>
      <w:r>
        <w:rPr>
          <w:rFonts w:hint="eastAsia"/>
          <w:sz w:val="24"/>
        </w:rPr>
        <w:t>5月6日</w:t>
      </w:r>
      <w:r>
        <w:rPr>
          <w:sz w:val="24"/>
        </w:rPr>
        <w:t>—</w:t>
      </w:r>
      <w:r>
        <w:rPr>
          <w:rFonts w:hint="eastAsia"/>
          <w:sz w:val="24"/>
        </w:rPr>
        <w:t>5月</w:t>
      </w:r>
      <w:r>
        <w:rPr>
          <w:rFonts w:hint="eastAsia"/>
          <w:sz w:val="24"/>
          <w:lang w:val="en-US" w:eastAsia="zh-CN"/>
        </w:rPr>
        <w:t>11</w:t>
      </w:r>
      <w:r>
        <w:rPr>
          <w:rFonts w:hint="eastAsia"/>
          <w:sz w:val="24"/>
        </w:rPr>
        <w:t>日</w:t>
      </w:r>
      <w:r>
        <w:rPr>
          <w:sz w:val="24"/>
        </w:rPr>
        <w:t>。</w:t>
      </w:r>
    </w:p>
    <w:p>
      <w:pPr>
        <w:spacing w:line="360" w:lineRule="auto"/>
        <w:ind w:firstLine="482" w:firstLineChars="200"/>
        <w:rPr>
          <w:b/>
          <w:sz w:val="24"/>
        </w:rPr>
      </w:pPr>
      <w:r>
        <w:rPr>
          <w:rFonts w:hint="eastAsia"/>
          <w:b/>
          <w:sz w:val="24"/>
        </w:rPr>
        <w:t>四</w:t>
      </w:r>
      <w:r>
        <w:rPr>
          <w:b/>
          <w:sz w:val="24"/>
        </w:rPr>
        <w:t>、申报材料</w:t>
      </w:r>
    </w:p>
    <w:p>
      <w:pPr>
        <w:spacing w:line="360" w:lineRule="auto"/>
        <w:ind w:firstLine="480" w:firstLineChars="200"/>
        <w:rPr>
          <w:sz w:val="24"/>
        </w:rPr>
      </w:pPr>
      <w:r>
        <w:rPr>
          <w:sz w:val="24"/>
        </w:rPr>
        <w:t>1.课程</w:t>
      </w:r>
      <w:r>
        <w:rPr>
          <w:rFonts w:hint="eastAsia"/>
          <w:sz w:val="24"/>
        </w:rPr>
        <w:t>负责人</w:t>
      </w:r>
      <w:r>
        <w:rPr>
          <w:sz w:val="24"/>
        </w:rPr>
        <w:t>填写《哈尔滨理工大学</w:t>
      </w:r>
      <w:r>
        <w:rPr>
          <w:rFonts w:hint="eastAsia"/>
          <w:sz w:val="24"/>
        </w:rPr>
        <w:t>荣成</w:t>
      </w:r>
      <w:r>
        <w:rPr>
          <w:sz w:val="24"/>
        </w:rPr>
        <w:t>学院线上教学优秀课程申报书》（见附件</w:t>
      </w:r>
      <w:r>
        <w:rPr>
          <w:rFonts w:hint="eastAsia"/>
          <w:sz w:val="24"/>
        </w:rPr>
        <w:t>1-2</w:t>
      </w:r>
      <w:r>
        <w:rPr>
          <w:sz w:val="24"/>
        </w:rPr>
        <w:t>）</w:t>
      </w:r>
      <w:r>
        <w:rPr>
          <w:rFonts w:hint="eastAsia"/>
          <w:sz w:val="24"/>
        </w:rPr>
        <w:t>；</w:t>
      </w:r>
    </w:p>
    <w:p>
      <w:pPr>
        <w:spacing w:line="360" w:lineRule="auto"/>
        <w:ind w:firstLine="480" w:firstLineChars="200"/>
        <w:rPr>
          <w:sz w:val="24"/>
        </w:rPr>
      </w:pPr>
      <w:r>
        <w:rPr>
          <w:sz w:val="24"/>
        </w:rPr>
        <w:t>2.</w:t>
      </w:r>
      <w:r>
        <w:rPr>
          <w:rFonts w:hint="eastAsia"/>
          <w:sz w:val="24"/>
        </w:rPr>
        <w:t>各教学单位</w:t>
      </w:r>
      <w:r>
        <w:rPr>
          <w:sz w:val="24"/>
        </w:rPr>
        <w:t>填写《</w:t>
      </w:r>
      <w:r>
        <w:rPr>
          <w:rFonts w:hint="eastAsia"/>
          <w:sz w:val="24"/>
        </w:rPr>
        <w:t>荣成</w:t>
      </w:r>
      <w:r>
        <w:rPr>
          <w:sz w:val="24"/>
        </w:rPr>
        <w:t>学院线上教学优秀课程申报汇总表》（见附件</w:t>
      </w:r>
      <w:r>
        <w:rPr>
          <w:rFonts w:hint="eastAsia"/>
          <w:sz w:val="24"/>
        </w:rPr>
        <w:t>1-4</w:t>
      </w:r>
      <w:r>
        <w:rPr>
          <w:sz w:val="24"/>
        </w:rPr>
        <w:t>）。</w:t>
      </w:r>
    </w:p>
    <w:p>
      <w:pPr>
        <w:spacing w:line="360" w:lineRule="auto"/>
        <w:ind w:firstLine="480" w:firstLineChars="200"/>
        <w:rPr>
          <w:sz w:val="24"/>
        </w:rPr>
      </w:pPr>
      <w:r>
        <w:rPr>
          <w:rFonts w:hint="eastAsia"/>
          <w:sz w:val="24"/>
        </w:rPr>
        <w:t>3.</w:t>
      </w:r>
      <w:r>
        <w:rPr>
          <w:sz w:val="24"/>
        </w:rPr>
        <w:t>时长10分钟内的说课视频（包括教学理念、课程设计、课程实施、改革成效等）（视频大小不超过400M）。</w:t>
      </w:r>
    </w:p>
    <w:p>
      <w:pPr>
        <w:spacing w:line="360" w:lineRule="auto"/>
        <w:ind w:firstLine="482" w:firstLineChars="200"/>
        <w:rPr>
          <w:b/>
          <w:sz w:val="24"/>
        </w:rPr>
      </w:pPr>
      <w:r>
        <w:rPr>
          <w:rFonts w:hint="eastAsia"/>
          <w:b/>
          <w:sz w:val="24"/>
        </w:rPr>
        <w:t>五</w:t>
      </w:r>
      <w:r>
        <w:rPr>
          <w:b/>
          <w:sz w:val="24"/>
        </w:rPr>
        <w:t>、报送方式</w:t>
      </w:r>
      <w:r>
        <w:rPr>
          <w:rFonts w:hint="eastAsia"/>
          <w:b/>
          <w:sz w:val="24"/>
        </w:rPr>
        <w:t>及</w:t>
      </w:r>
      <w:r>
        <w:rPr>
          <w:b/>
          <w:sz w:val="24"/>
        </w:rPr>
        <w:t>时间</w:t>
      </w:r>
    </w:p>
    <w:p>
      <w:pPr>
        <w:spacing w:line="360" w:lineRule="auto"/>
        <w:ind w:firstLine="480" w:firstLineChars="200"/>
        <w:rPr>
          <w:sz w:val="24"/>
        </w:rPr>
      </w:pPr>
      <w:r>
        <w:rPr>
          <w:sz w:val="24"/>
        </w:rPr>
        <w:t>材料报送以各系部为单位，不受理个人申报</w:t>
      </w:r>
      <w:r>
        <w:rPr>
          <w:rFonts w:hint="eastAsia"/>
          <w:sz w:val="24"/>
        </w:rPr>
        <w:t>。请</w:t>
      </w:r>
      <w:r>
        <w:rPr>
          <w:sz w:val="24"/>
        </w:rPr>
        <w:t>将</w:t>
      </w:r>
      <w:r>
        <w:rPr>
          <w:rFonts w:hint="eastAsia"/>
          <w:sz w:val="24"/>
        </w:rPr>
        <w:t>以上</w:t>
      </w:r>
      <w:r>
        <w:rPr>
          <w:sz w:val="24"/>
        </w:rPr>
        <w:t>申报材料于</w:t>
      </w:r>
      <w:r>
        <w:rPr>
          <w:rFonts w:hint="eastAsia"/>
          <w:sz w:val="24"/>
        </w:rPr>
        <w:t>5月</w:t>
      </w:r>
      <w:r>
        <w:rPr>
          <w:rFonts w:hint="eastAsia"/>
          <w:sz w:val="24"/>
          <w:lang w:val="en-US" w:eastAsia="zh-CN"/>
        </w:rPr>
        <w:t>11</w:t>
      </w:r>
      <w:r>
        <w:rPr>
          <w:rFonts w:hint="eastAsia"/>
          <w:sz w:val="24"/>
        </w:rPr>
        <w:t>日17:00前（统一命名：XX系（部）+优秀课程申报材料）</w:t>
      </w:r>
      <w:r>
        <w:rPr>
          <w:rFonts w:hint="eastAsia"/>
          <w:sz w:val="24"/>
          <w:lang w:val="en-US" w:eastAsia="zh-CN"/>
        </w:rPr>
        <w:t>rcxyjwb@126.com</w:t>
      </w:r>
      <w:r>
        <w:rPr>
          <w:rFonts w:hint="eastAsia"/>
          <w:sz w:val="24"/>
        </w:rPr>
        <w:t>。</w:t>
      </w:r>
    </w:p>
    <w:p>
      <w:pPr>
        <w:spacing w:line="360" w:lineRule="auto"/>
        <w:ind w:firstLine="480" w:firstLineChars="200"/>
        <w:rPr>
          <w:rFonts w:hint="eastAsia" w:eastAsiaTheme="minorEastAsia"/>
          <w:color w:val="auto"/>
          <w:sz w:val="24"/>
          <w:lang w:val="en-US" w:eastAsia="zh-CN"/>
        </w:rPr>
      </w:pPr>
      <w:r>
        <w:rPr>
          <w:color w:val="auto"/>
          <w:sz w:val="24"/>
        </w:rPr>
        <w:t>联系人</w:t>
      </w:r>
      <w:r>
        <w:rPr>
          <w:rFonts w:hint="eastAsia"/>
          <w:color w:val="auto"/>
          <w:sz w:val="24"/>
        </w:rPr>
        <w:t xml:space="preserve">： </w:t>
      </w:r>
      <w:r>
        <w:rPr>
          <w:rFonts w:hint="eastAsia"/>
          <w:color w:val="auto"/>
          <w:sz w:val="24"/>
          <w:lang w:val="en-US" w:eastAsia="zh-CN"/>
        </w:rPr>
        <w:t>董晶颢</w:t>
      </w:r>
    </w:p>
    <w:p>
      <w:pPr>
        <w:spacing w:line="360" w:lineRule="auto"/>
        <w:ind w:firstLine="480" w:firstLineChars="200"/>
        <w:rPr>
          <w:rFonts w:hint="default" w:eastAsia="宋体"/>
          <w:color w:val="FF0000"/>
          <w:sz w:val="24"/>
          <w:lang w:val="en-US" w:eastAsia="zh-CN"/>
        </w:rPr>
      </w:pPr>
      <w:r>
        <w:rPr>
          <w:color w:val="auto"/>
          <w:sz w:val="24"/>
        </w:rPr>
        <w:t>联系方式</w:t>
      </w:r>
      <w:r>
        <w:rPr>
          <w:rFonts w:hint="eastAsia"/>
          <w:color w:val="auto"/>
          <w:sz w:val="24"/>
        </w:rPr>
        <w:t>：</w:t>
      </w:r>
      <w:r>
        <w:rPr>
          <w:rFonts w:hint="eastAsia"/>
          <w:color w:val="FF0000"/>
          <w:sz w:val="24"/>
        </w:rPr>
        <w:t xml:space="preserve"> </w:t>
      </w:r>
      <w:r>
        <w:rPr>
          <w:rFonts w:ascii="宋体" w:hAnsi="宋体" w:eastAsia="宋体" w:cs="宋体"/>
          <w:sz w:val="24"/>
          <w:szCs w:val="24"/>
        </w:rPr>
        <w:t>7592875</w:t>
      </w:r>
      <w:r>
        <w:rPr>
          <w:rFonts w:hint="eastAsia" w:ascii="宋体" w:hAnsi="宋体" w:eastAsia="宋体" w:cs="宋体"/>
          <w:sz w:val="24"/>
          <w:szCs w:val="24"/>
          <w:lang w:val="en-US" w:eastAsia="zh-CN"/>
        </w:rPr>
        <w:t xml:space="preserve">  </w:t>
      </w:r>
      <w:r>
        <w:rPr>
          <w:rFonts w:ascii="宋体" w:hAnsi="宋体" w:eastAsia="宋体" w:cs="宋体"/>
          <w:sz w:val="24"/>
          <w:szCs w:val="24"/>
        </w:rPr>
        <w:t>18646162015</w:t>
      </w:r>
    </w:p>
    <w:p>
      <w:pPr>
        <w:spacing w:line="360" w:lineRule="auto"/>
        <w:ind w:firstLine="480" w:firstLineChars="200"/>
        <w:rPr>
          <w:sz w:val="24"/>
        </w:rPr>
      </w:pPr>
    </w:p>
    <w:p>
      <w:pPr>
        <w:spacing w:line="360" w:lineRule="auto"/>
        <w:ind w:firstLine="480" w:firstLineChars="200"/>
        <w:rPr>
          <w:sz w:val="24"/>
        </w:rPr>
      </w:pPr>
      <w:r>
        <w:rPr>
          <w:rFonts w:hint="eastAsia"/>
          <w:sz w:val="24"/>
        </w:rPr>
        <w:t>附件</w:t>
      </w:r>
      <w:r>
        <w:rPr>
          <w:sz w:val="24"/>
        </w:rPr>
        <w:t>：</w:t>
      </w:r>
    </w:p>
    <w:p>
      <w:pPr>
        <w:spacing w:line="360" w:lineRule="auto"/>
        <w:ind w:firstLine="480" w:firstLineChars="200"/>
        <w:rPr>
          <w:sz w:val="24"/>
        </w:rPr>
      </w:pPr>
      <w:r>
        <w:rPr>
          <w:rFonts w:hint="eastAsia"/>
          <w:sz w:val="24"/>
        </w:rPr>
        <w:t>1、关于荣成学院线上教学优秀课程申报的通知</w:t>
      </w:r>
    </w:p>
    <w:p>
      <w:pPr>
        <w:spacing w:line="360" w:lineRule="auto"/>
        <w:ind w:firstLine="480" w:firstLineChars="200"/>
        <w:rPr>
          <w:rFonts w:hint="eastAsia"/>
          <w:sz w:val="24"/>
        </w:rPr>
      </w:pPr>
      <w:r>
        <w:rPr>
          <w:rFonts w:hint="eastAsia"/>
          <w:sz w:val="24"/>
        </w:rPr>
        <w:t>2、</w:t>
      </w:r>
      <w:r>
        <w:rPr>
          <w:sz w:val="24"/>
        </w:rPr>
        <w:t>哈尔滨理工大学</w:t>
      </w:r>
      <w:r>
        <w:rPr>
          <w:rFonts w:hint="eastAsia"/>
          <w:sz w:val="24"/>
        </w:rPr>
        <w:t>荣成</w:t>
      </w:r>
      <w:r>
        <w:rPr>
          <w:sz w:val="24"/>
        </w:rPr>
        <w:t>学院线上教学优秀课程申报书</w:t>
      </w:r>
    </w:p>
    <w:p>
      <w:pPr>
        <w:spacing w:line="360" w:lineRule="auto"/>
        <w:ind w:firstLine="480" w:firstLineChars="200"/>
        <w:rPr>
          <w:sz w:val="24"/>
        </w:rPr>
      </w:pPr>
      <w:r>
        <w:rPr>
          <w:rFonts w:hint="eastAsia"/>
          <w:sz w:val="24"/>
        </w:rPr>
        <w:t>3、荣成学院线上教学优秀课程评选标准</w:t>
      </w:r>
    </w:p>
    <w:p>
      <w:pPr>
        <w:spacing w:line="360" w:lineRule="auto"/>
        <w:ind w:firstLine="480" w:firstLineChars="200"/>
        <w:rPr>
          <w:sz w:val="24"/>
        </w:rPr>
      </w:pPr>
      <w:r>
        <w:rPr>
          <w:rFonts w:hint="eastAsia"/>
          <w:sz w:val="24"/>
        </w:rPr>
        <w:t>4、荣成</w:t>
      </w:r>
      <w:r>
        <w:rPr>
          <w:sz w:val="24"/>
        </w:rPr>
        <w:t>学院线上教学优秀课程申报汇总表</w:t>
      </w:r>
    </w:p>
    <w:p>
      <w:pPr>
        <w:spacing w:line="360" w:lineRule="auto"/>
        <w:ind w:firstLine="480" w:firstLineChars="200"/>
        <w:rPr>
          <w:sz w:val="24"/>
        </w:rPr>
      </w:pPr>
    </w:p>
    <w:p>
      <w:pPr>
        <w:spacing w:line="360" w:lineRule="auto"/>
        <w:ind w:firstLine="480" w:firstLineChars="200"/>
        <w:jc w:val="right"/>
        <w:rPr>
          <w:sz w:val="24"/>
        </w:rPr>
      </w:pPr>
      <w:r>
        <w:rPr>
          <w:sz w:val="24"/>
        </w:rPr>
        <w:t>教务</w:t>
      </w:r>
      <w:r>
        <w:rPr>
          <w:rFonts w:hint="eastAsia"/>
          <w:sz w:val="24"/>
        </w:rPr>
        <w:t>办公室</w:t>
      </w:r>
    </w:p>
    <w:p>
      <w:pPr>
        <w:spacing w:line="360" w:lineRule="auto"/>
        <w:ind w:firstLine="480" w:firstLineChars="200"/>
        <w:jc w:val="right"/>
      </w:pPr>
      <w:bookmarkStart w:id="0" w:name="_GoBack"/>
      <w:bookmarkEnd w:id="0"/>
      <w:r>
        <w:rPr>
          <w:sz w:val="24"/>
        </w:rPr>
        <w:t>2020年</w:t>
      </w:r>
      <w:r>
        <w:rPr>
          <w:rFonts w:hint="eastAsia"/>
          <w:sz w:val="24"/>
        </w:rPr>
        <w:t>4</w:t>
      </w:r>
      <w:r>
        <w:rPr>
          <w:sz w:val="24"/>
        </w:rPr>
        <w:t>月</w:t>
      </w:r>
      <w:r>
        <w:rPr>
          <w:rFonts w:hint="eastAsia"/>
          <w:sz w:val="24"/>
        </w:rPr>
        <w:t>2</w:t>
      </w:r>
      <w:r>
        <w:rPr>
          <w:rFonts w:hint="eastAsia"/>
          <w:sz w:val="24"/>
          <w:lang w:val="en-US" w:eastAsia="zh-CN"/>
        </w:rPr>
        <w:t>9</w:t>
      </w:r>
      <w:r>
        <w:rPr>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mp;quot">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7266D"/>
    <w:rsid w:val="00020334"/>
    <w:rsid w:val="00067925"/>
    <w:rsid w:val="00254FFA"/>
    <w:rsid w:val="0087266D"/>
    <w:rsid w:val="00901DB5"/>
    <w:rsid w:val="00A90AA8"/>
    <w:rsid w:val="00B31AA7"/>
    <w:rsid w:val="00B8355C"/>
    <w:rsid w:val="03136C9C"/>
    <w:rsid w:val="1CF152B9"/>
    <w:rsid w:val="2BE04281"/>
    <w:rsid w:val="35C01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 w:type="character" w:styleId="6">
    <w:name w:val="Hyperlink"/>
    <w:basedOn w:val="4"/>
    <w:unhideWhenUsed/>
    <w:uiPriority w:val="99"/>
    <w:rPr>
      <w:color w:val="0000FF" w:themeColor="hyperlink"/>
      <w:u w:val="single"/>
    </w:rPr>
  </w:style>
  <w:style w:type="paragraph" w:customStyle="1" w:styleId="7">
    <w:name w:val="vsbcontent_start"/>
    <w:basedOn w:val="1"/>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214</Words>
  <Characters>1220</Characters>
  <Lines>10</Lines>
  <Paragraphs>2</Paragraphs>
  <TotalTime>1347</TotalTime>
  <ScaleCrop>false</ScaleCrop>
  <LinksUpToDate>false</LinksUpToDate>
  <CharactersWithSpaces>1432</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2020-04-27T03:07:00Z</dcterms:created>
  <dc:creator>D. Jh</dc:creator>
  <cp:lastModifiedBy>赵金涛</cp:lastModifiedBy>
  <dcterms:modified xsi:type="dcterms:W3CDTF">2020-04-29T13:12:03Z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