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w:t>
      </w:r>
      <w:r>
        <w:rPr>
          <w:rFonts w:hint="eastAsia" w:ascii="宋体" w:hAnsi="宋体" w:cs="宋体"/>
          <w:color w:val="000000"/>
          <w:sz w:val="24"/>
          <w:lang w:val="en-US" w:eastAsia="zh-CN"/>
        </w:rPr>
        <w:t>提供</w:t>
      </w:r>
      <w:r>
        <w:rPr>
          <w:rFonts w:hint="eastAsia" w:ascii="宋体" w:hAnsi="宋体" w:eastAsia="宋体" w:cs="宋体"/>
          <w:color w:val="000000"/>
          <w:sz w:val="24"/>
        </w:rPr>
        <w:t>时</w:t>
      </w:r>
      <w:r>
        <w:rPr>
          <w:rFonts w:hint="eastAsia" w:ascii="宋体" w:hAnsi="宋体" w:eastAsia="宋体" w:cs="宋体"/>
          <w:color w:val="000000"/>
          <w:sz w:val="24"/>
          <w:lang w:val="en-US" w:eastAsia="zh-CN"/>
        </w:rPr>
        <w:t>间：</w:t>
      </w:r>
      <w:r>
        <w:rPr>
          <w:rFonts w:hint="eastAsia" w:ascii="宋体" w:hAnsi="宋体" w:cs="宋体"/>
          <w:color w:val="000000"/>
          <w:sz w:val="24"/>
          <w:lang w:val="en-US" w:eastAsia="zh-CN"/>
        </w:rPr>
        <w:t>签订合同后7天内</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w:t>
      </w:r>
      <w:r>
        <w:rPr>
          <w:rFonts w:hint="eastAsia" w:ascii="宋体" w:hAnsi="宋体" w:cs="宋体"/>
          <w:color w:val="000000"/>
          <w:sz w:val="24"/>
          <w:lang w:val="en-US" w:eastAsia="zh-CN"/>
        </w:rPr>
        <w:t xml:space="preserve"> 供货完毕</w:t>
      </w:r>
      <w:r>
        <w:rPr>
          <w:rFonts w:ascii="宋体" w:hAnsi="宋体" w:eastAsia="宋体" w:cs="宋体"/>
          <w:sz w:val="24"/>
          <w:szCs w:val="24"/>
        </w:rPr>
        <w:t>且验收合格后，一次付清。</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供货完毕</w:t>
      </w:r>
      <w:r>
        <w:rPr>
          <w:rFonts w:ascii="宋体" w:hAnsi="宋体" w:eastAsia="宋体" w:cs="宋体"/>
          <w:sz w:val="24"/>
          <w:szCs w:val="24"/>
        </w:rPr>
        <w:t>且验收合格后，一次付清。</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1）质保期：三年</w:t>
      </w:r>
    </w:p>
    <w:p>
      <w:pPr>
        <w:numPr>
          <w:ilvl w:val="0"/>
          <w:numId w:val="0"/>
        </w:numPr>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2）供应商应按谈判文件、投标（响应）文件及在响应过程中做出的书面说明或承诺提供及时、快速、优质的售后服务。</w:t>
      </w:r>
    </w:p>
    <w:p>
      <w:pPr>
        <w:pStyle w:val="2"/>
        <w:rPr>
          <w:rFonts w:hint="eastAsia"/>
          <w:lang w:val="en-US" w:eastAsia="zh-CN"/>
        </w:rPr>
      </w:pPr>
      <w:bookmarkStart w:id="0" w:name="_GoBack"/>
      <w:bookmarkEnd w:id="0"/>
    </w:p>
    <w:p>
      <w:pPr>
        <w:numPr>
          <w:ilvl w:val="0"/>
          <w:numId w:val="0"/>
        </w:numPr>
        <w:spacing w:line="360" w:lineRule="auto"/>
        <w:rPr>
          <w:rFonts w:hint="eastAsia" w:ascii="宋体" w:hAnsi="宋体" w:cs="宋体"/>
          <w:sz w:val="24"/>
          <w:szCs w:val="24"/>
          <w:lang w:eastAsia="zh-CN"/>
        </w:rPr>
      </w:pPr>
      <w:r>
        <w:rPr>
          <w:rFonts w:hint="eastAsia" w:ascii="宋体" w:hAnsi="宋体" w:cs="宋体"/>
          <w:sz w:val="24"/>
          <w:szCs w:val="24"/>
          <w:lang w:eastAsia="zh-CN"/>
        </w:rPr>
        <w:t>三、</w:t>
      </w:r>
      <w:r>
        <w:rPr>
          <w:rFonts w:hint="eastAsia" w:ascii="宋体" w:hAnsi="宋体" w:eastAsia="宋体" w:cs="宋体"/>
          <w:b/>
          <w:bCs/>
          <w:color w:val="000000"/>
          <w:sz w:val="30"/>
          <w:szCs w:val="30"/>
          <w:lang w:eastAsia="zh-CN"/>
        </w:rPr>
        <w:t>采购标的及技术参数要求</w:t>
      </w:r>
    </w:p>
    <w:tbl>
      <w:tblPr>
        <w:tblStyle w:val="4"/>
        <w:tblW w:w="8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195"/>
        <w:gridCol w:w="819"/>
        <w:gridCol w:w="572"/>
        <w:gridCol w:w="478"/>
        <w:gridCol w:w="831"/>
        <w:gridCol w:w="900"/>
        <w:gridCol w:w="3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序号</w:t>
            </w:r>
          </w:p>
        </w:tc>
        <w:tc>
          <w:tcPr>
            <w:tcW w:w="1195"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物品或服务名称</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规格型号</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数量</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预计单价（元)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预计总价（元)</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规格/型号/完整技术参数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EPS应急电源供货及安装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2KVA</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7600</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76000</w:t>
            </w:r>
          </w:p>
        </w:tc>
        <w:tc>
          <w:tcPr>
            <w:tcW w:w="33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6"/>
                <w:szCs w:val="16"/>
                <w:u w:val="none"/>
              </w:rPr>
              <w:t>应急时间≥90min，动力混合型负载，防护等级：IP65，市电转为应急供电转换时间：3毫秒，额定频率：50HZ，额定短时耐受电流：40kA，应急电源柜（EPS）的电气间隙：电气间隙：10mm，爬电距离：12mm，耐压水平：2.5kV 50Hz 1分钟；EPS内部器件采用三防处理，提高系统可靠性；高效节能，市电模式效率≥99%，电池模式≥95%。电池配置：80AH*4只（铅酸免维护蓄电池）。EPS为固定式开关柜。EPS及柜内所有元器件和材料应为阻燃或不燃产品。EPS控制电路采用高速CPU控制，数字化程度高，安全可靠；EPS采用数字化控制技术，有关运行参数和运行模式的改变可通过面板或有关软来进行设置；STS模块性能稳定可靠；其中“静态开关”采用大容量高速的SCR组成 ，用于将负载在逆变器供电和主电供电之间进行快速切换；逆变模块核心电路板沿用成熟产品线路板，性能稳定可靠；采用高效率功率器件，效率接近于1；充电采用充电模块3只，单只充电电流10A，充电模块具有单独的输入回路,可根据实际需求灵活调节；具备输入过压、输出过压、输出短路、过温保护、电池防反接、防倒灌保护以及温度补偿功能。屏体为钢支架金属外壳封闭式结构，冷轧板折弯焊接工艺，能独立支承，采用前后开门，屏后必须用双扇门，屏柜钢板厚度不小于2mm。屏、柜由螺栓与预埋的基础槽钢固定。屏体用防锈涂层保护。屏柜面应平整、不眩目，颜色由买方选定。屏柜内主回路带电部分应与二次控制回路和接地部分隔离，柜体内应保证充分通风，并能防腐、防小动物侵入。柜门必须接地，含防雷装置。EPS电源装置必须具有应急管理部消防产品合格评定中心签发的产品认证证书，并提供有效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EPS应急电源供货及安装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3KVA</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9700</w:t>
            </w: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9700</w:t>
            </w:r>
          </w:p>
        </w:tc>
        <w:tc>
          <w:tcPr>
            <w:tcW w:w="333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16"/>
                <w:szCs w:val="16"/>
                <w:u w:val="none"/>
                <w:lang w:val="en-US" w:eastAsia="zh-CN"/>
              </w:rPr>
              <w:t>应急时间≥90min，动力混合型负载，防护等级：IP65，市电转为应急供电转换时间：3毫秒，额定频率：50HZ，额定短时耐受电流：40kA，应急电源柜（EPS）的电气间隙：电气间隙：10mm，爬电距离：12mm，耐压水平：2.5kV 50Hz 1分钟；EPS内部器件采用三防处理，提高系统可靠性；高效节能，市电模式效率≥99%，电池模式≥95%。电池配置：120AH*4只（铅酸免维护蓄电池）。EPS为固定式开关柜。EPS及柜内所有元器件和材料应为阻燃或不燃产品。EPS控制电路采用高速CPU控制，数字化程度高，安全可靠；EPS采用数字化控制技术，有关运行参数和运行模式的改变可通过面板或有关软来进行设置；STS模块性能稳定可靠；其中“静态开关”采用大容量高速的SCR组成 ，用于将负载在逆变器供电和主电供电之间进行快速切换；逆变模块核心电路板沿用成熟产品线路板，性能稳定可靠；采用高效率功率器件，效率接近于1；充电采用充电模块3只，单只充电电流10A，充电模块具有单独的输入回路,可根据实际需求灵活调节；具备输入过压、输出过压、输出短路、过温保护、电池防反接、防倒灌保护以及温度补偿功能。屏体为钢支架金属外壳封闭式结构，冷轧板折弯焊接工艺，能独立支承，采用前后开门，屏后必须用双扇门，屏柜钢板厚度不小于2mm。屏、柜由螺栓与预埋的基础槽钢固定。屏体用防锈涂层保护。屏柜面应平整、不眩目，颜色由买方选定。屏柜内主回路带电部分应与二次控制回路和接地部分隔离，柜体内应保证充分通风，并能防腐、防小动物侵入。柜门必须接地，含防雷装置。EPS电源装置必须具有应急管理部消防产品合格评定中心签发的产品认证证书，并提供有效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EPS应急电源供货及安装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4KVA</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12800</w:t>
            </w:r>
          </w:p>
        </w:tc>
        <w:tc>
          <w:tcPr>
            <w:tcW w:w="333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6"/>
                <w:szCs w:val="16"/>
                <w:u w:val="none"/>
                <w:lang w:val="en-US" w:eastAsia="zh-CN"/>
              </w:rPr>
              <w:t>应急时间≥90min，动力混合型负载，防护等级：IP65，市电转为应急供电转换时间：3毫秒，额定频率：50HZ，额定短时耐受电流：40kA，应急电源柜（EPS）的电气间隙：电气间隙：10mm，爬电距离：12mm，耐压水平：2.5kV 50Hz 1分钟；EPS内部器件采用三防处理，提高系统可靠性；高效节能，市电模式效率≥99%，电池模式≥95%。电池配置：80AH*8只（铅酸免维护蓄电池）。EPS为固定式开关柜。EPS及柜内所有元器件和材料应为阻燃或不燃产品。EPS控制电路采用高速CPU控制，数字化程度高，安全可靠；EPS采用数字化控制技术，有关运行参数和运行模式的改变可通过面板或有关软来进行设置；STS模块性能稳定可靠；其中“静态开关”采用大容量高速的SCR组成 ，用于将负载在逆变器供电和主电供电之间进行快速切换；逆变模块核心电路板沿用成熟产品线路板，性能稳定可靠；采用高效率功率器件，效率接近于1；充电采用充电模块3只，单只充电电流10A，充电模块具有单独的输入回路,可根据实际需求灵活调节；具备输入过压、输出过压、输出短路、过温保护、电池防反接、防倒灌保护以及温度补偿功能。屏体为钢支架金属外壳封闭式结构，冷轧板折弯焊接工艺，能独立支承，采用前后开门，屏后必须用双扇门，屏柜钢板厚度不小于2mm。屏、柜由螺栓与预埋的基础槽钢固定。屏体用防锈涂层保护。屏柜面应平整、不眩目，颜色由买方选定。屏柜内主回路带电部分应与二次控制回路和接地部分隔离，柜体内应保证充分通风，并能防腐、防小动物侵入。柜门必须接地，含防雷装置。EPS电源装置必须具有应急管理部消防产品合格评定中心签发的产品认证证书，并提供有效的检测报告。</w:t>
            </w:r>
          </w:p>
        </w:tc>
      </w:tr>
    </w:tbl>
    <w:p>
      <w:pPr>
        <w:numPr>
          <w:ilvl w:val="0"/>
          <w:numId w:val="0"/>
        </w:numPr>
        <w:spacing w:line="360" w:lineRule="auto"/>
        <w:rPr>
          <w:rFonts w:hint="eastAsia" w:ascii="宋体" w:hAnsi="宋体" w:cs="宋体"/>
          <w:sz w:val="24"/>
          <w:szCs w:val="24"/>
          <w:lang w:eastAsia="zh-CN"/>
        </w:rPr>
      </w:pPr>
    </w:p>
    <w:p>
      <w:pPr>
        <w:numPr>
          <w:ilvl w:val="0"/>
          <w:numId w:val="0"/>
        </w:numPr>
        <w:spacing w:line="360" w:lineRule="auto"/>
        <w:ind w:left="420" w:leftChars="0" w:firstLine="420" w:firstLineChars="0"/>
        <w:rPr>
          <w:rFonts w:hint="eastAsia" w:ascii="宋体" w:hAnsi="宋体" w:eastAsia="宋体" w:cs="宋体"/>
          <w:color w:val="000000"/>
          <w:sz w:val="24"/>
        </w:rPr>
      </w:pPr>
    </w:p>
    <w:p>
      <w:pPr>
        <w:numPr>
          <w:ilvl w:val="0"/>
          <w:numId w:val="0"/>
        </w:numPr>
        <w:spacing w:line="360" w:lineRule="auto"/>
        <w:rPr>
          <w:rFonts w:hint="eastAsia" w:ascii="宋体" w:hAnsi="宋体" w:cs="宋体"/>
          <w:color w:val="000000" w:themeColor="text1"/>
          <w:sz w:val="24"/>
          <w:szCs w:val="24"/>
          <w:lang w:val="en-US" w:eastAsia="zh-CN"/>
          <w14:textFill>
            <w14:solidFill>
              <w14:schemeClr w14:val="tx1"/>
            </w14:solidFill>
          </w14:textFill>
        </w:rPr>
      </w:pP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ODcxZjU2NDZkOTFhYTZiZDE3MWI0OWZjOGRiYWEifQ=="/>
  </w:docVars>
  <w:rsids>
    <w:rsidRoot w:val="00000000"/>
    <w:rsid w:val="04344748"/>
    <w:rsid w:val="087C1591"/>
    <w:rsid w:val="09035725"/>
    <w:rsid w:val="0AF32CBA"/>
    <w:rsid w:val="0CA67CE9"/>
    <w:rsid w:val="0FDC2FA6"/>
    <w:rsid w:val="119C1FE9"/>
    <w:rsid w:val="11B6492C"/>
    <w:rsid w:val="18FF2F1D"/>
    <w:rsid w:val="1BB66110"/>
    <w:rsid w:val="2351323F"/>
    <w:rsid w:val="24450BC8"/>
    <w:rsid w:val="276245BC"/>
    <w:rsid w:val="2C9E2F92"/>
    <w:rsid w:val="2E4725C3"/>
    <w:rsid w:val="2F5E5FD5"/>
    <w:rsid w:val="31AE6525"/>
    <w:rsid w:val="322557CE"/>
    <w:rsid w:val="343345FE"/>
    <w:rsid w:val="411F7B2A"/>
    <w:rsid w:val="471536B4"/>
    <w:rsid w:val="4B5A548E"/>
    <w:rsid w:val="4C0617B9"/>
    <w:rsid w:val="4D67268C"/>
    <w:rsid w:val="510D2AA8"/>
    <w:rsid w:val="51E27A91"/>
    <w:rsid w:val="54C25C1B"/>
    <w:rsid w:val="5D0E7784"/>
    <w:rsid w:val="5FE75AC9"/>
    <w:rsid w:val="60DA501B"/>
    <w:rsid w:val="616C21B3"/>
    <w:rsid w:val="717532B1"/>
    <w:rsid w:val="72B53C3D"/>
    <w:rsid w:val="75A617DF"/>
    <w:rsid w:val="768F34E2"/>
    <w:rsid w:val="76E466FF"/>
    <w:rsid w:val="7C3E66E2"/>
    <w:rsid w:val="7D9E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Plain Text"/>
    <w:basedOn w:val="1"/>
    <w:qFormat/>
    <w:uiPriority w:val="0"/>
    <w:rPr>
      <w:rFonts w:ascii="宋体" w:hAnsi="Courier New"/>
      <w:szCs w:val="20"/>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准文本"/>
    <w:basedOn w:val="1"/>
    <w:qFormat/>
    <w:uiPriority w:val="0"/>
    <w:pPr>
      <w:spacing w:line="360" w:lineRule="auto"/>
      <w:ind w:firstLine="480" w:firstLineChars="200"/>
    </w:pPr>
    <w:rPr>
      <w:rFonts w:cs="宋体"/>
      <w:sz w:val="24"/>
      <w:szCs w:val="20"/>
    </w:rPr>
  </w:style>
  <w:style w:type="character" w:customStyle="1" w:styleId="8">
    <w:name w:val="font01"/>
    <w:basedOn w:val="6"/>
    <w:qFormat/>
    <w:uiPriority w:val="0"/>
    <w:rPr>
      <w:rFonts w:hint="eastAsia" w:ascii="宋体" w:hAnsi="宋体" w:eastAsia="宋体" w:cs="宋体"/>
      <w:b/>
      <w:bCs/>
      <w:color w:val="000000"/>
      <w:sz w:val="20"/>
      <w:szCs w:val="20"/>
      <w:u w:val="none"/>
    </w:rPr>
  </w:style>
  <w:style w:type="character" w:customStyle="1" w:styleId="9">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2419</Words>
  <Characters>2639</Characters>
  <Lines>0</Lines>
  <Paragraphs>0</Paragraphs>
  <TotalTime>55</TotalTime>
  <ScaleCrop>false</ScaleCrop>
  <LinksUpToDate>false</LinksUpToDate>
  <CharactersWithSpaces>2710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chking</cp:lastModifiedBy>
  <cp:lastPrinted>2023-08-21T07:22:49Z</cp:lastPrinted>
  <dcterms:modified xsi:type="dcterms:W3CDTF">2023-08-21T08:06:55Z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82F373A818B04B9AAF3898BBE9058CEB_13</vt:lpwstr>
  </property>
</Properties>
</file>